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MAJOR SERVICE OFFERINGS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Employee Relations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We are your HR department. Our staff will work with your management team to ensure quick resolutions to</w:t>
      </w:r>
      <w:r w:rsidR="003D3813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employee issues. Employees will have contact information for the HR team so that they can reach out anytime</w:t>
      </w:r>
      <w:r w:rsidR="003D3813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they need assistance.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7D03CD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 xml:space="preserve">Human Resource Technology (HRIS) 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 xml:space="preserve">ICON presented by </w:t>
      </w:r>
      <w:proofErr w:type="spellStart"/>
      <w:r w:rsidRPr="00001F5A">
        <w:rPr>
          <w:rFonts w:ascii="Calibri" w:hAnsi="Calibri" w:cs="Calibri"/>
          <w:sz w:val="24"/>
          <w:szCs w:val="24"/>
        </w:rPr>
        <w:t>UnicornHRO</w:t>
      </w:r>
      <w:proofErr w:type="spellEnd"/>
      <w:r w:rsidRPr="00001F5A">
        <w:rPr>
          <w:rFonts w:ascii="Calibri" w:hAnsi="Calibri" w:cs="Calibri"/>
          <w:sz w:val="24"/>
          <w:szCs w:val="24"/>
        </w:rPr>
        <w:t xml:space="preserve"> is the preferred technology vendor of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proofErr w:type="gramStart"/>
      <w:r w:rsidRPr="00001F5A">
        <w:rPr>
          <w:rFonts w:ascii="Calibri" w:hAnsi="Calibri" w:cs="Calibri"/>
          <w:sz w:val="24"/>
          <w:szCs w:val="24"/>
        </w:rPr>
        <w:t>our</w:t>
      </w:r>
      <w:proofErr w:type="gramEnd"/>
      <w:r w:rsidRPr="00001F5A">
        <w:rPr>
          <w:rFonts w:ascii="Calibri" w:hAnsi="Calibri" w:cs="Calibri"/>
          <w:sz w:val="24"/>
          <w:szCs w:val="24"/>
        </w:rPr>
        <w:t xml:space="preserve"> organization. This powerful system allows small business to access the technology solutions of much</w:t>
      </w:r>
      <w:r w:rsidR="007D03CD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larger organizations and includes employee and manager self-service options. ICON group volume discounts</w:t>
      </w:r>
      <w:r w:rsidR="007D03CD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are passed through to all clients of Preferred HR Services.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Benefit Analysis, Plan Design &amp; Administration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Our specialist will work to bring you and your employees a comprehensive benefits package that will include</w:t>
      </w:r>
      <w:r w:rsidR="007D03CD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 xml:space="preserve">options for health, dental and vision insurance. We will also introduce supplemental products </w:t>
      </w:r>
      <w:proofErr w:type="spellStart"/>
      <w:r w:rsidRPr="00001F5A">
        <w:rPr>
          <w:rFonts w:ascii="Calibri" w:hAnsi="Calibri" w:cs="Calibri"/>
          <w:sz w:val="24"/>
          <w:szCs w:val="24"/>
        </w:rPr>
        <w:t>the</w:t>
      </w:r>
      <w:proofErr w:type="spellEnd"/>
      <w:r w:rsidRPr="00001F5A">
        <w:rPr>
          <w:rFonts w:ascii="Calibri" w:hAnsi="Calibri" w:cs="Calibri"/>
          <w:sz w:val="24"/>
          <w:szCs w:val="24"/>
        </w:rPr>
        <w:t xml:space="preserve"> will offer</w:t>
      </w:r>
      <w:r w:rsidR="007D03CD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your employees lower group rates, guaranteed issue, and a variety of coverage. This service includes the</w:t>
      </w:r>
      <w:r w:rsidR="007D03CD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administration of your plans throughout the benefits year as well as vendor management and employee</w:t>
      </w:r>
      <w:r w:rsidR="007D03CD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assistance.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Compensation/Incentive Plan Design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Once a year we will provide the latest information on our local labor market. This information will assist</w:t>
      </w:r>
      <w:r w:rsidR="007D03CD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Preferred HR Services in recommending pay changes based upon the market information for specific positions.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Employee Job Description Creation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Clear communication regarding job duties is a key component in avoiding unnecessary misunderstandings.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Job descriptions also serve as a means to clarify performance requirements, recruit for vacancies, train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employees, and check for compliance with legal requirements related to equal opportunity, equal pay,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overtime eligibility, etc. Creation of job description with an annual update will be provided under this service.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Employee Handbook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Providing employees’ with a handbook creates a direct communication resource for the employer and the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employee. It provides guidance and information related to the company’s history, mission, values, policies,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procedures and benefits. It is also viewed as a means of protecting the company against discrimination or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unfair treatment claims.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lastRenderedPageBreak/>
        <w:t>New Hire On-Boarding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Improve productivity, build loyalty, and increase employee success by creating a positive first impression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through an effective and efficient on-boarding process.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Workers Compensation Analysis, Plan Design &amp; Claims Management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Working with you we will locate the lowest possible rates for your workers compensation insurance needs.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We will manage the process with your vendor when injuries occur on the job.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Unemployment Claims Administration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Many organizations do not realize that their unemployment rate is one area where cost savings can be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realized. Through a combination of policy development, employee disciplinary procedures, and a cooperative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partnership with the state Unemployment agency we can help to maintain or reduce your unemployment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costs.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Regulatory Compliance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Building off of the HR Audit and Risk Assessment our team will work with you to ensure that you are compliant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in federal and state regulatory compliance.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Payroll Administration &amp; Management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The service removes the worry of payroll and payroll taxes. Direct Deposit makes paying employees both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quick and convenient.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OSHA Program Development, Training &amp; Compliance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4"/>
          <w:szCs w:val="24"/>
        </w:rPr>
      </w:pPr>
      <w:r w:rsidRPr="00001F5A">
        <w:rPr>
          <w:rFonts w:ascii="Calibri" w:hAnsi="Calibri" w:cs="Calibri"/>
          <w:sz w:val="24"/>
          <w:szCs w:val="24"/>
        </w:rPr>
        <w:t>The Occupational Safety &amp; Health Administration regulates and enforces federally enacted safety standards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for all different types of industries. The healthcare industry has some very specific requirements. We can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work with you and your employees to ensure a safe and compliant working environment. This service will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include the initial hazard assessment, preparation of your OSHA manual and monthly trainings.</w:t>
      </w: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</w:p>
    <w:p w:rsidR="00A45ACE" w:rsidRPr="00001F5A" w:rsidRDefault="00A45ACE" w:rsidP="00A45AC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</w:rPr>
      </w:pPr>
      <w:r w:rsidRPr="00001F5A">
        <w:rPr>
          <w:rFonts w:ascii="Calibri-Bold" w:hAnsi="Calibri-Bold" w:cs="Calibri-Bold"/>
          <w:b/>
          <w:bCs/>
          <w:sz w:val="24"/>
          <w:szCs w:val="24"/>
        </w:rPr>
        <w:t>Recruitment &amp; Pre-Employment Services</w:t>
      </w:r>
    </w:p>
    <w:p w:rsidR="00820E35" w:rsidRPr="00001F5A" w:rsidRDefault="00A45ACE" w:rsidP="00241717">
      <w:pPr>
        <w:autoSpaceDE w:val="0"/>
        <w:autoSpaceDN w:val="0"/>
        <w:adjustRightInd w:val="0"/>
        <w:spacing w:after="0" w:line="240" w:lineRule="auto"/>
        <w:rPr>
          <w:szCs w:val="28"/>
        </w:rPr>
      </w:pPr>
      <w:r w:rsidRPr="00001F5A">
        <w:rPr>
          <w:rFonts w:ascii="Calibri" w:hAnsi="Calibri" w:cs="Calibri"/>
          <w:sz w:val="24"/>
          <w:szCs w:val="24"/>
        </w:rPr>
        <w:t>Hiring the wrong person costs organizations valuable time and money. By developing and consistently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following sound recruitment and pre-employment practices companies find that they are better able to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manage their turnover. Our recruitment and pre-employment services include sourcing and prescreening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candidates. In partnership with our background investigation organization we will thoroughly screen and</w:t>
      </w:r>
      <w:r w:rsidR="00241717">
        <w:rPr>
          <w:rFonts w:ascii="Calibri" w:hAnsi="Calibri" w:cs="Calibri"/>
          <w:sz w:val="24"/>
          <w:szCs w:val="24"/>
        </w:rPr>
        <w:t xml:space="preserve"> </w:t>
      </w:r>
      <w:r w:rsidRPr="00001F5A">
        <w:rPr>
          <w:rFonts w:ascii="Calibri" w:hAnsi="Calibri" w:cs="Calibri"/>
          <w:sz w:val="24"/>
          <w:szCs w:val="24"/>
        </w:rPr>
        <w:t>advise clients in the hiring process.</w:t>
      </w:r>
    </w:p>
    <w:p w:rsidR="00820E35" w:rsidRDefault="00820E35" w:rsidP="00E925B8">
      <w:pPr>
        <w:rPr>
          <w:szCs w:val="28"/>
        </w:rPr>
      </w:pPr>
    </w:p>
    <w:p w:rsidR="00820E35" w:rsidRPr="00E925B8" w:rsidRDefault="00820E35" w:rsidP="00E925B8">
      <w:pPr>
        <w:rPr>
          <w:szCs w:val="28"/>
        </w:rPr>
      </w:pPr>
    </w:p>
    <w:sectPr w:rsidR="00820E35" w:rsidRPr="00E925B8" w:rsidSect="004A2EBD">
      <w:headerReference w:type="default" r:id="rId8"/>
      <w:footerReference w:type="default" r:id="rId9"/>
      <w:pgSz w:w="12240" w:h="15840" w:code="1"/>
      <w:pgMar w:top="1440" w:right="1440" w:bottom="1440" w:left="1440" w:header="720" w:footer="288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7490" w:rsidRDefault="00547490" w:rsidP="00A93A42">
      <w:pPr>
        <w:spacing w:after="0" w:line="240" w:lineRule="auto"/>
      </w:pPr>
      <w:r>
        <w:separator/>
      </w:r>
    </w:p>
  </w:endnote>
  <w:endnote w:type="continuationSeparator" w:id="0">
    <w:p w:rsidR="00547490" w:rsidRDefault="00547490" w:rsidP="00A93A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61002BDF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A42" w:rsidRDefault="004A2EBD" w:rsidP="0027782B">
    <w:pPr>
      <w:pStyle w:val="Footer"/>
      <w:jc w:val="center"/>
    </w:pPr>
    <w:r w:rsidRPr="004A2EBD">
      <w:rPr>
        <w:noProof/>
      </w:rPr>
      <w:drawing>
        <wp:inline distT="0" distB="0" distL="0" distR="0">
          <wp:extent cx="469900" cy="457200"/>
          <wp:effectExtent l="19050" t="0" r="6350" b="0"/>
          <wp:docPr id="4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900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A2EBD" w:rsidRPr="004A2EBD" w:rsidRDefault="004A2EBD" w:rsidP="0027782B">
    <w:pPr>
      <w:pStyle w:val="Footer"/>
      <w:jc w:val="center"/>
      <w:rPr>
        <w:sz w:val="20"/>
        <w:szCs w:val="20"/>
      </w:rPr>
    </w:pPr>
    <w:r w:rsidRPr="004A2EBD">
      <w:rPr>
        <w:sz w:val="20"/>
        <w:szCs w:val="20"/>
      </w:rPr>
      <w:t>7920 Beltline Road, Suite 450 Dallas, Texas 75254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7490" w:rsidRDefault="00547490" w:rsidP="00A93A42">
      <w:pPr>
        <w:spacing w:after="0" w:line="240" w:lineRule="auto"/>
      </w:pPr>
      <w:r>
        <w:separator/>
      </w:r>
    </w:p>
  </w:footnote>
  <w:footnote w:type="continuationSeparator" w:id="0">
    <w:p w:rsidR="00547490" w:rsidRDefault="00547490" w:rsidP="00A93A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277"/>
      <w:gridCol w:w="1313"/>
    </w:tblGrid>
    <w:tr w:rsidR="00A93A42" w:rsidTr="0069598F">
      <w:trPr>
        <w:trHeight w:val="378"/>
      </w:trPr>
      <w:tc>
        <w:tcPr>
          <w:tcW w:w="7765" w:type="dxa"/>
        </w:tcPr>
        <w:p w:rsidR="00A93A42" w:rsidRPr="0069598F" w:rsidRDefault="004913E1" w:rsidP="004913E1">
          <w:pPr>
            <w:pStyle w:val="Header"/>
            <w:tabs>
              <w:tab w:val="left" w:pos="2775"/>
              <w:tab w:val="right" w:pos="7681"/>
            </w:tabs>
            <w:jc w:val="center"/>
            <w:rPr>
              <w:rFonts w:asciiTheme="majorHAnsi" w:eastAsiaTheme="majorEastAsia" w:hAnsiTheme="majorHAnsi" w:cstheme="majorBidi"/>
              <w:color w:val="FF0000"/>
              <w:sz w:val="36"/>
              <w:szCs w:val="36"/>
            </w:rPr>
          </w:pPr>
          <w:r w:rsidRPr="004913E1">
            <w:rPr>
              <w:rFonts w:asciiTheme="majorHAnsi" w:eastAsiaTheme="majorEastAsia" w:hAnsiTheme="majorHAnsi" w:cstheme="majorBidi"/>
              <w:noProof/>
              <w:color w:val="FF0000"/>
              <w:sz w:val="36"/>
              <w:szCs w:val="36"/>
            </w:rPr>
            <w:drawing>
              <wp:inline distT="0" distB="0" distL="0" distR="0">
                <wp:extent cx="3609975" cy="1270372"/>
                <wp:effectExtent l="19050" t="0" r="9525" b="0"/>
                <wp:docPr id="1" name="Picture 1" descr="C:\Documents and Settings\jwade\Desktop\HRx\HRX Logo\BlueScrubs HRx Employee Solution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Documents and Settings\jwade\Desktop\HRx\HRX Logo\BlueScrubs HRx Employee Solution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09975" cy="12703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105" w:type="dxa"/>
        </w:tcPr>
        <w:p w:rsidR="00A93A42" w:rsidRDefault="00A93A42" w:rsidP="00A93A42">
          <w:pPr>
            <w:pStyle w:val="Header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  <w:p w:rsidR="003D79AA" w:rsidRPr="00001F5A" w:rsidRDefault="00A45ACE" w:rsidP="004913E1">
          <w:pPr>
            <w:pStyle w:val="Header"/>
            <w:rPr>
              <w:rFonts w:ascii="Microsoft Sans Serif" w:eastAsiaTheme="majorEastAsia" w:hAnsi="Microsoft Sans Serif" w:cs="Microsoft Sans Serif"/>
              <w:b/>
              <w:bCs/>
              <w:i/>
              <w:color w:val="17365D" w:themeColor="text2" w:themeShade="BF"/>
            </w:rPr>
          </w:pPr>
          <w:r w:rsidRPr="00001F5A">
            <w:rPr>
              <w:rFonts w:ascii="Microsoft Sans Serif" w:hAnsi="Microsoft Sans Serif" w:cs="Microsoft Sans Serif"/>
              <w:i/>
              <w:iCs/>
              <w:color w:val="17365D" w:themeColor="text2" w:themeShade="BF"/>
              <w:sz w:val="20"/>
              <w:szCs w:val="20"/>
            </w:rPr>
            <w:t>Managing the employee life cycle from recruitment to retirement</w:t>
          </w:r>
        </w:p>
      </w:tc>
    </w:tr>
  </w:tbl>
  <w:p w:rsidR="00A93A42" w:rsidRDefault="00A93A4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16103"/>
    <w:multiLevelType w:val="hybridMultilevel"/>
    <w:tmpl w:val="1C2E65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CC018A"/>
    <w:multiLevelType w:val="hybridMultilevel"/>
    <w:tmpl w:val="719AC0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43CCC"/>
    <w:multiLevelType w:val="hybridMultilevel"/>
    <w:tmpl w:val="62DC1D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FD2EFA"/>
    <w:multiLevelType w:val="hybridMultilevel"/>
    <w:tmpl w:val="539862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885B1B"/>
    <w:multiLevelType w:val="hybridMultilevel"/>
    <w:tmpl w:val="0388E4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8FA31FA"/>
    <w:multiLevelType w:val="hybridMultilevel"/>
    <w:tmpl w:val="FD2055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B0C2A1E"/>
    <w:multiLevelType w:val="hybridMultilevel"/>
    <w:tmpl w:val="CF102C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2"/>
  </w:num>
  <w:num w:numId="4">
    <w:abstractNumId w:val="1"/>
  </w:num>
  <w:num w:numId="5">
    <w:abstractNumId w:val="4"/>
  </w:num>
  <w:num w:numId="6">
    <w:abstractNumId w:val="3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39938"/>
  </w:hdrShapeDefaults>
  <w:footnotePr>
    <w:footnote w:id="-1"/>
    <w:footnote w:id="0"/>
  </w:footnotePr>
  <w:endnotePr>
    <w:endnote w:id="-1"/>
    <w:endnote w:id="0"/>
  </w:endnotePr>
  <w:compat/>
  <w:rsids>
    <w:rsidRoot w:val="00056311"/>
    <w:rsid w:val="00001F5A"/>
    <w:rsid w:val="000158A7"/>
    <w:rsid w:val="00037F6D"/>
    <w:rsid w:val="0004374E"/>
    <w:rsid w:val="00056311"/>
    <w:rsid w:val="000830E1"/>
    <w:rsid w:val="00090CD0"/>
    <w:rsid w:val="0009155D"/>
    <w:rsid w:val="00094E7C"/>
    <w:rsid w:val="000B3073"/>
    <w:rsid w:val="000C5D16"/>
    <w:rsid w:val="000F079C"/>
    <w:rsid w:val="00106D01"/>
    <w:rsid w:val="00122983"/>
    <w:rsid w:val="0016023D"/>
    <w:rsid w:val="00163457"/>
    <w:rsid w:val="00197E8E"/>
    <w:rsid w:val="001D61B2"/>
    <w:rsid w:val="00206A44"/>
    <w:rsid w:val="0023234A"/>
    <w:rsid w:val="00241717"/>
    <w:rsid w:val="0027782B"/>
    <w:rsid w:val="00320569"/>
    <w:rsid w:val="0033200A"/>
    <w:rsid w:val="00387EEA"/>
    <w:rsid w:val="003A50C7"/>
    <w:rsid w:val="003A7F6D"/>
    <w:rsid w:val="003C3195"/>
    <w:rsid w:val="003D3813"/>
    <w:rsid w:val="003D79AA"/>
    <w:rsid w:val="00432088"/>
    <w:rsid w:val="00483BB1"/>
    <w:rsid w:val="0049135B"/>
    <w:rsid w:val="004913E1"/>
    <w:rsid w:val="004A2EBD"/>
    <w:rsid w:val="004B71B3"/>
    <w:rsid w:val="004E3801"/>
    <w:rsid w:val="00523229"/>
    <w:rsid w:val="00547490"/>
    <w:rsid w:val="005945A0"/>
    <w:rsid w:val="00611342"/>
    <w:rsid w:val="006471FB"/>
    <w:rsid w:val="0065112E"/>
    <w:rsid w:val="00663325"/>
    <w:rsid w:val="0069598F"/>
    <w:rsid w:val="006B7398"/>
    <w:rsid w:val="006E0738"/>
    <w:rsid w:val="00700E54"/>
    <w:rsid w:val="007021D0"/>
    <w:rsid w:val="00756291"/>
    <w:rsid w:val="007C60C6"/>
    <w:rsid w:val="007D03CD"/>
    <w:rsid w:val="007D0AA2"/>
    <w:rsid w:val="007F4514"/>
    <w:rsid w:val="00807CDA"/>
    <w:rsid w:val="00820E35"/>
    <w:rsid w:val="00862139"/>
    <w:rsid w:val="00863AC2"/>
    <w:rsid w:val="008A2819"/>
    <w:rsid w:val="008C6E67"/>
    <w:rsid w:val="008D2007"/>
    <w:rsid w:val="00945B2E"/>
    <w:rsid w:val="00986018"/>
    <w:rsid w:val="00A023F4"/>
    <w:rsid w:val="00A32168"/>
    <w:rsid w:val="00A45ACE"/>
    <w:rsid w:val="00A93A42"/>
    <w:rsid w:val="00AB04D1"/>
    <w:rsid w:val="00AB1740"/>
    <w:rsid w:val="00AC2C2F"/>
    <w:rsid w:val="00B000CA"/>
    <w:rsid w:val="00B27E1A"/>
    <w:rsid w:val="00B6583B"/>
    <w:rsid w:val="00B75289"/>
    <w:rsid w:val="00BD253E"/>
    <w:rsid w:val="00BD7DB1"/>
    <w:rsid w:val="00BE5EFB"/>
    <w:rsid w:val="00BF2C05"/>
    <w:rsid w:val="00C723CE"/>
    <w:rsid w:val="00C731F9"/>
    <w:rsid w:val="00C85D04"/>
    <w:rsid w:val="00CA2E51"/>
    <w:rsid w:val="00D44687"/>
    <w:rsid w:val="00D46114"/>
    <w:rsid w:val="00D6391C"/>
    <w:rsid w:val="00D710F6"/>
    <w:rsid w:val="00D9503B"/>
    <w:rsid w:val="00DA14B5"/>
    <w:rsid w:val="00E050A5"/>
    <w:rsid w:val="00E428D5"/>
    <w:rsid w:val="00E83151"/>
    <w:rsid w:val="00E925B8"/>
    <w:rsid w:val="00F62721"/>
    <w:rsid w:val="00F86BFF"/>
    <w:rsid w:val="00FE37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99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4E7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B739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93A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3A42"/>
  </w:style>
  <w:style w:type="paragraph" w:styleId="Footer">
    <w:name w:val="footer"/>
    <w:basedOn w:val="Normal"/>
    <w:link w:val="FooterChar"/>
    <w:uiPriority w:val="99"/>
    <w:unhideWhenUsed/>
    <w:rsid w:val="00A93A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3A42"/>
  </w:style>
  <w:style w:type="paragraph" w:styleId="BalloonText">
    <w:name w:val="Balloon Text"/>
    <w:basedOn w:val="Normal"/>
    <w:link w:val="BalloonTextChar"/>
    <w:uiPriority w:val="99"/>
    <w:semiHidden/>
    <w:unhideWhenUsed/>
    <w:rsid w:val="00A93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3A4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387EEA"/>
    <w:rPr>
      <w:color w:val="0000FF"/>
      <w:u w:val="single"/>
    </w:rPr>
  </w:style>
  <w:style w:type="paragraph" w:customStyle="1" w:styleId="Default">
    <w:name w:val="Default"/>
    <w:rsid w:val="00E925B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CM3">
    <w:name w:val="CM3"/>
    <w:basedOn w:val="Default"/>
    <w:next w:val="Default"/>
    <w:uiPriority w:val="99"/>
    <w:rsid w:val="00E925B8"/>
    <w:pPr>
      <w:spacing w:line="208" w:lineRule="atLeast"/>
    </w:pPr>
    <w:rPr>
      <w:color w:val="auto"/>
    </w:rPr>
  </w:style>
  <w:style w:type="paragraph" w:customStyle="1" w:styleId="CM4">
    <w:name w:val="CM4"/>
    <w:basedOn w:val="Default"/>
    <w:next w:val="Default"/>
    <w:uiPriority w:val="99"/>
    <w:rsid w:val="00E925B8"/>
    <w:rPr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2012-01-02T00:00:00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636</Words>
  <Characters>3627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BlueScrubs Staffing</vt:lpstr>
    </vt:vector>
  </TitlesOfParts>
  <Company/>
  <LinksUpToDate>false</LinksUpToDate>
  <CharactersWithSpaces>4255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BlueScrubs Staffing</dc:title>
  <dc:creator>Jermaine Wade</dc:creator>
  <cp:lastModifiedBy>Jermaine Wade</cp:lastModifiedBy>
  <cp:revision>2</cp:revision>
  <cp:lastPrinted>2011-09-26T15:13:00Z</cp:lastPrinted>
  <dcterms:created xsi:type="dcterms:W3CDTF">2013-02-07T18:07:00Z</dcterms:created>
  <dcterms:modified xsi:type="dcterms:W3CDTF">2013-02-07T18:07:00Z</dcterms:modified>
</cp:coreProperties>
</file>